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1C" w:rsidRPr="004F21F2" w:rsidRDefault="0070231C" w:rsidP="0070231C">
      <w:pPr>
        <w:rPr>
          <w:rFonts w:ascii="Times New Roman" w:hAnsi="Times New Roman" w:cs="Times New Roman"/>
          <w:sz w:val="28"/>
          <w:lang w:val="kk-KZ"/>
        </w:rPr>
      </w:pPr>
      <w:r w:rsidRPr="004F21F2">
        <w:rPr>
          <w:rFonts w:ascii="Times New Roman" w:hAnsi="Times New Roman" w:cs="Times New Roman"/>
          <w:b/>
          <w:sz w:val="28"/>
          <w:lang w:val="kk-KZ"/>
        </w:rPr>
        <w:t>Тақырыбы:</w:t>
      </w:r>
      <w:r w:rsidRPr="004F21F2">
        <w:rPr>
          <w:rFonts w:ascii="Times New Roman" w:hAnsi="Times New Roman" w:cs="Times New Roman"/>
          <w:sz w:val="28"/>
          <w:lang w:val="kk-KZ"/>
        </w:rPr>
        <w:t xml:space="preserve">    «Мектеп </w:t>
      </w:r>
      <w:r w:rsidR="005005A1">
        <w:rPr>
          <w:rFonts w:ascii="Times New Roman" w:hAnsi="Times New Roman" w:cs="Times New Roman"/>
          <w:sz w:val="28"/>
          <w:lang w:val="kk-KZ"/>
        </w:rPr>
        <w:t>білім алушылар</w:t>
      </w:r>
      <w:r w:rsidRPr="004F21F2">
        <w:rPr>
          <w:rFonts w:ascii="Times New Roman" w:hAnsi="Times New Roman" w:cs="Times New Roman"/>
          <w:sz w:val="28"/>
          <w:lang w:val="kk-KZ"/>
        </w:rPr>
        <w:t>ының еске сақтау қабілеттерін зерттеу»</w:t>
      </w:r>
    </w:p>
    <w:p w:rsidR="003D440F" w:rsidRPr="003D440F" w:rsidRDefault="003D440F" w:rsidP="003D4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Тақырыптың өзектілігі.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Қазіргі уақытта жаңа жүйе бойынша көптеген жұмыстар нақтыланып, маңызды істер тындырылуда. Әрбір мектеп алдында жеке тұлғаның ерекшеліктерін ескере отырып, шығармашылықпен ойлай алатын жеке тұлғаны қалыптастыру – бүгінгі таңның өзекті мәселелерінің бірі. Осыған орай бүкіл әлемде білім беру жүйелерінің келешек ұрпаққа қандай білім беретіні туралы озық тәжірибе жүйесін енгізуде. Мысалы 4, 9 сынып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алушыларына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PIZA тапсырмалары, ОЖСБ; 11 сынып түлектеріне ҰБТ тапсыру –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өмірінде маңызды рөл а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тқарады.  Сондықтан білім алушыларды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еске сақтау қабілетін дамыту жұмыстары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арасында басты тәжірибелердің бірі. Сонымен еске сақтауды жақсарту әдістері </w:t>
      </w:r>
      <w:r w:rsidR="00C956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жаңа білім жүйелерін тез меңгеруіне септігін тигізеді.</w:t>
      </w:r>
    </w:p>
    <w:p w:rsidR="003D440F" w:rsidRPr="003D440F" w:rsidRDefault="003D440F" w:rsidP="003D4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Зерттеу нысаны: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 А. Нұрманов атындағы жалпы білім беретін мектебі» КММ</w:t>
      </w:r>
    </w:p>
    <w:p w:rsidR="003D440F" w:rsidRPr="003D440F" w:rsidRDefault="003D440F" w:rsidP="003D4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Жұмыстың мақсаты: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 </w:t>
      </w:r>
      <w:r w:rsidR="00C956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ының еске сақтау қабілеттерін зерттеп, есті дамытудың, жақсартудың әдіс-тәсілдерін ұсыну.</w:t>
      </w:r>
      <w:r w:rsidRPr="003D4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3D440F" w:rsidRPr="003D440F" w:rsidRDefault="003D440F" w:rsidP="003D4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Жұмыстың міндеттері: </w:t>
      </w:r>
    </w:p>
    <w:p w:rsidR="003D440F" w:rsidRPr="003D440F" w:rsidRDefault="003D440F" w:rsidP="003D44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Интерактивті және әдеби шолу жасап, мәселені толық қарастыру;</w:t>
      </w:r>
    </w:p>
    <w:p w:rsidR="003D440F" w:rsidRPr="003D440F" w:rsidRDefault="003D440F" w:rsidP="003D44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 толық ашу үшін әдістермен танысу және тиімді әдістерін таңдап алу;</w:t>
      </w:r>
    </w:p>
    <w:p w:rsidR="003D440F" w:rsidRPr="003D440F" w:rsidRDefault="003D440F" w:rsidP="003D44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</w:t>
      </w:r>
      <w:r w:rsidR="00C956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ының еске сақтау қабілеттерін анықтау және қорытындылау;</w:t>
      </w:r>
    </w:p>
    <w:p w:rsidR="003D440F" w:rsidRPr="003D440F" w:rsidRDefault="003D440F" w:rsidP="003D440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Есті жақсартудың тиімді жолдарын ұсыну.</w:t>
      </w:r>
    </w:p>
    <w:p w:rsidR="003D440F" w:rsidRPr="003D440F" w:rsidRDefault="003D440F" w:rsidP="003D4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Болжам: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Еске сақтауды жақсарту ұсыныстарын пайдалана отырып жаңа  материалдарды қажеттіліктеріне байланысты жеттік меңгерулеріне мүмкіндік береді.</w:t>
      </w:r>
    </w:p>
    <w:p w:rsidR="003D440F" w:rsidRPr="003D440F" w:rsidRDefault="003D440F" w:rsidP="003D4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Зерттеуден күтілетін нәтиже: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Зерттеу барысында білім алушылар өздерінің ес түрлерін анықтап, соған орай еске сақтау қабілеттерін жақсарту.</w:t>
      </w:r>
    </w:p>
    <w:p w:rsidR="003D440F" w:rsidRPr="003D440F" w:rsidRDefault="003D440F" w:rsidP="003D4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Зерттеу әдістері мен тәсілдері: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психологиялық тәжірибелер</w:t>
      </w:r>
      <w:r w:rsidRPr="003D440F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«Горбов-Шульте» кестесі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«Сандардың орналасуы» әдісі, «қатардағы сандар», «пирамида-туннель» суреті,  «25 сөз» әдісі. </w:t>
      </w:r>
    </w:p>
    <w:p w:rsidR="003D440F" w:rsidRPr="004F21F2" w:rsidRDefault="003D440F" w:rsidP="003D4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44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Теориялық және практикалық жұмыстың маңыздылығы.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Алынған мәліметтер «А. Нұрманов атындағы жалпы білім беретін мектебі»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ының еске сақтау қабілеттерін бағалауға қолданылады.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3D44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еске сақтау қабілеттері мектеп  бағдарламасын табысты меңгеруге, жеке қабілетіне байланысты болашақта таңдаған маманына оқуға түсуіне септігін тигізеді. Сонымен қатар есті жақсартуға әдістемелік нұсқаулар ұсынылған. </w:t>
      </w:r>
    </w:p>
    <w:p w:rsidR="00C9741D" w:rsidRDefault="00C9741D">
      <w:pPr>
        <w:rPr>
          <w:lang w:val="kk-KZ"/>
        </w:rPr>
      </w:pPr>
    </w:p>
    <w:p w:rsidR="003D440F" w:rsidRDefault="003D440F">
      <w:pPr>
        <w:rPr>
          <w:lang w:val="kk-KZ"/>
        </w:rPr>
      </w:pPr>
    </w:p>
    <w:p w:rsidR="003D440F" w:rsidRDefault="003D440F">
      <w:pPr>
        <w:rPr>
          <w:lang w:val="kk-KZ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lastRenderedPageBreak/>
        <w:t>ЗЕРТТЕУ НӘТИЖЕЛЕРІ ЖӘНЕ ОЛАРДЫ ТАЛҚЫЛАУ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Зерттеу жұмысы «А. Нұрманов атындағы жалпы білім беретін мектебі» 5-11 сынып аралығындағы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ына жүргізілді. Зерттелген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саны 50, олардың </w:t>
      </w:r>
      <w:r w:rsidR="00F240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ішінде 29-ы ұл, 21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-ы қыз балалар. Зерттеу жұмыстары оқу үрдісі кезінде жүргізіліп, жас ерекшеліктеріне (ортаңғы буын, жоғарғы буын) байланысты алынған материалдар өңделді.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  <w:lang w:val="kk-KZ" w:eastAsia="ru-RU"/>
        </w:rPr>
      </w:pPr>
      <w:bookmarkStart w:id="0" w:name="_Toc509820119"/>
      <w:r w:rsidRPr="008A5B4C">
        <w:rPr>
          <w:rFonts w:ascii="Times New Roman" w:eastAsiaTheme="majorEastAsia" w:hAnsi="Times New Roman" w:cstheme="majorBidi"/>
          <w:b/>
          <w:bCs/>
          <w:sz w:val="28"/>
          <w:szCs w:val="26"/>
          <w:lang w:val="kk-KZ" w:eastAsia="ru-RU"/>
        </w:rPr>
        <w:t xml:space="preserve">3.1 Мектеп </w:t>
      </w:r>
      <w:r w:rsidR="005005A1">
        <w:rPr>
          <w:rFonts w:ascii="Times New Roman" w:eastAsiaTheme="majorEastAsia" w:hAnsi="Times New Roman" w:cstheme="majorBidi"/>
          <w:b/>
          <w:bCs/>
          <w:sz w:val="28"/>
          <w:szCs w:val="26"/>
          <w:lang w:val="kk-KZ" w:eastAsia="ru-RU"/>
        </w:rPr>
        <w:t>білім алушылар</w:t>
      </w:r>
      <w:r w:rsidRPr="008A5B4C">
        <w:rPr>
          <w:rFonts w:ascii="Times New Roman" w:eastAsiaTheme="majorEastAsia" w:hAnsi="Times New Roman" w:cstheme="majorBidi"/>
          <w:b/>
          <w:bCs/>
          <w:sz w:val="28"/>
          <w:szCs w:val="26"/>
          <w:lang w:val="kk-KZ" w:eastAsia="ru-RU"/>
        </w:rPr>
        <w:t>ының қысқа мерзімді бейнелі ес көлемі мен зейіні</w:t>
      </w:r>
      <w:bookmarkEnd w:id="0"/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Жалпы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қысқа мерзімді бейнелік ес көлемін зерттеу нәтижесінде келесі мәліметтер алынды (5-сурет).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E6F07" wp14:editId="0F1625D4">
            <wp:extent cx="5297214" cy="2942897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5-сурет – </w:t>
      </w:r>
      <w:r w:rsidR="005005A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</w:t>
      </w:r>
      <w:proofErr w:type="gramStart"/>
      <w:r w:rsidR="005005A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л</w:t>
      </w:r>
      <w:proofErr w:type="gramEnd"/>
      <w:r w:rsidR="005005A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ім алушылар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қысқамерізімді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бейнелік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көлемінің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көрсеткіші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Диаграммада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көрсетілгендей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мерзімді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 сақтау тү</w:t>
      </w:r>
      <w:proofErr w:type="gramStart"/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gramEnd"/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басым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көпшілігінде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орташа (30 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көрсеткіш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байқалады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Одан кейін өте жақсы есте сақтау көрсеткіші - 12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-ды құраса, феноменді тек – 2 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көрсетті.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Әдебиеттегі мәліметтерге сәйкес осы жасына сай қысқа мерзімді ес көлемі нормаға сай келеді.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жағдайды түсіндіру үшін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зейін көлемін зерттедік         (6-сурет).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B5F807" wp14:editId="62F8FF5B">
            <wp:extent cx="5775325" cy="2385848"/>
            <wp:effectExtent l="19050" t="0" r="158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6-сурет –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зейін көлемінің көрсеткіші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Диаграмма бойынша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жартысынан көбінде (58%) зейін көлемі «төмен» көрсеткіш. Екінші орында орташа көрсеткіш көлемі 37%. Жоғары ес көлемі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="00B728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тек 5%-ын ғана көрсетті.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Зерттеу барысында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қысқа мерзімді ес көлемін жалпы түрде зерттеп қана қоймай, олардың жас ерекшеліктеріне де байланысты қарастырдық. </w:t>
      </w:r>
      <w:r w:rsidRP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Келесі гистограммада қысқа мерзімді естің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зерттеу нәтижелері берілген (7, 8-сурет).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92599" wp14:editId="2DD40266">
            <wp:extent cx="5593474" cy="3205655"/>
            <wp:effectExtent l="19050" t="0" r="2627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7-сурет –</w:t>
      </w:r>
      <w:r w:rsidR="00B23E3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ортаңғы және жоғарғы буын </w:t>
      </w:r>
      <w:r w:rsidR="005005A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ының  салыстырмалы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</w:t>
      </w:r>
      <w:proofErr w:type="gram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ыс</w:t>
      </w:r>
      <w:proofErr w:type="gram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қа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мерзімді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бейнелік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көлемінің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көрсеткіші</w:t>
      </w:r>
      <w:proofErr w:type="spellEnd"/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Мониторинг көсеткіші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="00B50A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қысқа мерзімді бейнелік ес көлемі «жақсы» деңгейі ең жоғарғы көрсеткіші болып есептелінді.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Нәтижені талдай келе,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 жас ерекшеліктері бойынша салыстырса, қысқа мерзімді ес көлемі жоғарылайтынын байқауға болады. Бірақ «феноменді» көрсеткіштері бойынша олардың ес көлемі бір қалыпты. Ал «өте жақсы» көрсеткіші 9-11 сыныптарында пайыздық көрсеткіші жоғары екенін байқауға болады.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5005A1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қысқа мерзімді зейін тұрақтылығын зерттеу нәтижесінде келесі мәліметтер алынды (9-сурет).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CD627" wp14:editId="1F605A81">
            <wp:extent cx="5816600" cy="2832100"/>
            <wp:effectExtent l="0" t="0" r="1270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9-сурет –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proofErr w:type="gramStart"/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proofErr w:type="gramEnd"/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тұрақтылығының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көрсеткіші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Гистограммада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proofErr w:type="gramStart"/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proofErr w:type="gramEnd"/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тұрақтылығы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Барлығы – 50 </w:t>
      </w:r>
      <w:r w:rsidR="004D00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Ең жоғарғы көрсеткіш – өте тұрақты (74%).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Зейін тұрақтылы «орташа» көрсеткіші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="00966D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тек 24%-ын ғана құрса,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2%-ында зейін тұрақтылығының жеткіліксіз екендігі анықталды.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Зерттеу барысында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="00966D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зейін тұрақтылығын жалпы түрде зерттеп қана қоймай, оның </w:t>
      </w:r>
      <w:r w:rsidR="000645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 ерекшеліктеріне байланысты 2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буынға бөліп салыстырмалы түрде қарастырдық. Келесі гистограммада зейін тұрақтылығының зерттеу нәтижелері берілген. (10, 11-сурет).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8A5B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7CD384" wp14:editId="25CB41D3">
            <wp:extent cx="5490342" cy="2785241"/>
            <wp:effectExtent l="19050" t="0" r="15108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орта және жоғарғы буын </w:t>
      </w:r>
      <w:r w:rsidR="005005A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</w:t>
      </w:r>
      <w:proofErr w:type="gramStart"/>
      <w:r w:rsidR="005005A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л</w:t>
      </w:r>
      <w:proofErr w:type="gramEnd"/>
      <w:r w:rsidR="005005A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ім алушылар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ының  салыстырмалы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зейін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тұрақтылығының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көрсеткіші</w:t>
      </w:r>
      <w:proofErr w:type="spellEnd"/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Диаграммадан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proofErr w:type="gramStart"/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proofErr w:type="gramEnd"/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тұрақтылығы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жоғарғы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көрсеткіш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тұрақты»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91-92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ортаңғы және жоғарғы буыннан байқалды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екі буын аралығында айырмашылық байқалмады.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  <w:lang w:val="kk-KZ" w:eastAsia="ru-RU"/>
        </w:rPr>
      </w:pPr>
      <w:bookmarkStart w:id="2" w:name="_Toc509820120"/>
      <w:r w:rsidRPr="008A5B4C">
        <w:rPr>
          <w:rFonts w:ascii="Times New Roman" w:eastAsiaTheme="majorEastAsia" w:hAnsi="Times New Roman" w:cstheme="majorBidi"/>
          <w:b/>
          <w:bCs/>
          <w:sz w:val="28"/>
          <w:szCs w:val="26"/>
          <w:lang w:val="kk-KZ" w:eastAsia="ru-RU"/>
        </w:rPr>
        <w:t xml:space="preserve">3.2 </w:t>
      </w:r>
      <w:r w:rsidR="005005A1">
        <w:rPr>
          <w:rFonts w:ascii="Times New Roman" w:eastAsiaTheme="majorEastAsia" w:hAnsi="Times New Roman" w:cstheme="majorBidi"/>
          <w:b/>
          <w:bCs/>
          <w:sz w:val="28"/>
          <w:szCs w:val="26"/>
          <w:lang w:val="kk-KZ" w:eastAsia="ru-RU"/>
        </w:rPr>
        <w:t>Білім алушылар</w:t>
      </w:r>
      <w:r w:rsidRPr="008A5B4C">
        <w:rPr>
          <w:rFonts w:ascii="Times New Roman" w:eastAsiaTheme="majorEastAsia" w:hAnsi="Times New Roman" w:cstheme="majorBidi"/>
          <w:b/>
          <w:bCs/>
          <w:sz w:val="28"/>
          <w:szCs w:val="26"/>
          <w:lang w:val="kk-KZ" w:eastAsia="ru-RU"/>
        </w:rPr>
        <w:t>дың қысқа мерізімді ауызша-логикалық ес көлемі</w:t>
      </w:r>
      <w:bookmarkEnd w:id="2"/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Жалпы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қысқа мерзімді ауызша-логикалық ес көлемін зерттеу нәтижесінде келесі мәліметтер алынды (10-сурет).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A91173" wp14:editId="4E0F1B6E">
            <wp:extent cx="5620276" cy="2217683"/>
            <wp:effectExtent l="19050" t="0" r="18524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10-сурет –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proofErr w:type="gram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мерзімді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ауызша-логикалық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көлемінің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көрсеткіші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5005A1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пайызында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2%)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мерзімді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көлемі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орташадан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төмендігін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диаграммадан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байқауға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="008A5B4C"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10-суретте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диаграмманың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нәтижесіне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орытынды</w:t>
      </w:r>
      <w:proofErr w:type="gram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келдік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сөздік-логикалық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көлемін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әлі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жаттықтыру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анықтау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</w:t>
      </w:r>
      <w:proofErr w:type="gramStart"/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proofErr w:type="gramEnd"/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 ерекшеліктеріне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ауызша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көлемін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зерттедік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(11-сурет)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C1CB6" wp14:editId="64063793">
            <wp:extent cx="5488371" cy="2890345"/>
            <wp:effectExtent l="19050" t="0" r="17079" b="52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11-сурет </w:t>
      </w:r>
      <w:proofErr w:type="gram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</w:t>
      </w:r>
      <w:proofErr w:type="gramEnd"/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рта және жоғарғы буын </w:t>
      </w:r>
      <w:r w:rsidR="005005A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ының  салыстырмалы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қысқа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мерзімді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ауызша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логикалық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көлемінің</w:t>
      </w:r>
      <w:proofErr w:type="spellEnd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көрсеткіші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Гистограммада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</w:t>
      </w:r>
      <w:proofErr w:type="gram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қағанымыздай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орташадан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</w:t>
      </w:r>
      <w:proofErr w:type="spellEnd"/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көрсеткіші - ортаңғы буында байқалады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 жоғарғы буында керісінше еске сақтаудың бұл түрі жақсарғанын көрсетеді, «орташа» көрсеткіші - 46</w:t>
      </w:r>
      <w:r w:rsidRPr="008A5B4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«Өте жоғарғы» көрсеткішін жоғарғы буын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ынан ғана байқауға болады.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сараптай келе </w:t>
      </w:r>
      <w:r w:rsidR="00E44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 буын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44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алушыларының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ауызша-логикалық есте сақтау қабілеттері жақсы дамымайтыны анықталды. Тек ауызша-логикалық есте сақтаудың осы түрі жоғарғы сыныптарда дамитыны белгілі болды.</w:t>
      </w:r>
    </w:p>
    <w:p w:rsidR="008A5B4C" w:rsidRPr="008A5B4C" w:rsidRDefault="008A5B4C" w:rsidP="008A5B4C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0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bookmarkStart w:id="3" w:name="_Toc509820122"/>
      <w:r w:rsidRPr="008A5B4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ҚОРЫТЫНДЫ</w:t>
      </w:r>
      <w:bookmarkEnd w:id="3"/>
    </w:p>
    <w:p w:rsidR="008A5B4C" w:rsidRPr="008A5B4C" w:rsidRDefault="008A5B4C" w:rsidP="008A5B4C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8A5B4C" w:rsidRPr="008A5B4C" w:rsidRDefault="008A5B4C" w:rsidP="008A5B4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Ортаңғы және жоғарғы буын мектеп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ының есте сақтау қабілеттерін зерттеп, мынадай қорытындыға келдім: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басым көпшілігінде (56%) қысқа мерзімді бейнелік ес көлемі нормаға сай келеді. Бұл көрсеткіш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жасына сай екендігі көптеген әдебиеттерде жазылған. Барлық әдебиеттерде есті жақсарту үшін бейнелік-логикалық есте сақтау керектігі негізделген. </w:t>
      </w:r>
    </w:p>
    <w:p w:rsidR="008A5B4C" w:rsidRPr="008A5B4C" w:rsidRDefault="005005A1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басым көпшілігінде бейнелік ес жақсы болғандықтан, оқытушыларға осы ес түріне сүйену керек. Оқу барысында көрнекіліктерді көп қолданып,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 берілген формула, </w:t>
      </w:r>
      <w:r w:rsidR="008A5B4C"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мәтіндер мен сандарды есте сақтауда бейне түрінде елестетуге үйрету керек. Әсіресе мектеп бітіруші, тест тапсырушы, түлектерге көп ақпаратты жаттауды қажет етеді.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Зерттеу барысында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қысқа мерзімді ес көлемін жалпы түрде зерттеп қана қоймай, олардың жас ерекшеліктеріне де байланысты қарастырдық. Жақсы көрсеткіші орта буын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ының 68%-да, жоғарғы буын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ының 70%-да көрсетті. Бұл көрсеткіш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бейнелік ес көлемі дамып келе жатқанын дәлелдейді.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Зейін көлемінің көрсеткіші жалпы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="00E91F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 (50 білім алушы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көпшілігінде орташа. Ал зейін тұрақтылығы сыналушылардың 74%-да өте тұрақты екендігі анық көрсетілген. Зерттеуде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зейін диапазонының күштілігі 0,7-10-нан 700-900 шартты бірлікке тең болды (Добрынин әдістемесі бойынша). Сондықтанда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гуманитарлық бағыттағы сабақтарды жазбай тек тыңдап, немесе берілген материалдың мәнін түсінбей, барлығын қатарынан жазып алады.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Қысқа мерзімді cөздік-логикалық ес көлемін анықтау тесті бойынша мынадай көрсеткіштер алынды: зерттеу жұмысы барысында жалпы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3A2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(5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 сыналушы) көп пайызында қысқа мерзімді ауызша-логикалық ес көлемі орташадан төмен көрсеткіш көрсетті.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жағдайды анықтау үшін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жас ерекшеліктеріне байланысты ауызша-логикалық ес көлемін зерттедім. Орташа көрсеткіші бойынша қарастырсақ орта буын (27%-да) </w:t>
      </w:r>
      <w:r w:rsidR="003A24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алушыларымен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салыстырғанда жоғарғы буын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ында (46%-да)  есте сақтаудың бұл түрі жақсарғанын көруге болады.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Қысқа мерзімді сөздік-логикалық есте сақтауға қарағанда </w:t>
      </w:r>
      <w:r w:rsidR="005005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алушылар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дың бейнелік есте сақтау қабілеті жақсы дамыған, осыған орай зейінді жақсарту керек. 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Нәтижені сараптай отырып, мәселені шешу үшін есті және зейінді жақсартуға ұсыныстар көрсетілді [9, 11, 15].</w:t>
      </w:r>
    </w:p>
    <w:p w:rsidR="008A5B4C" w:rsidRPr="008A5B4C" w:rsidRDefault="008A5B4C" w:rsidP="008A5B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Сөзімді Абай атамыздың айтып кеткен мына бір ғибратты сөзімен аяқтағым келеді: «</w:t>
      </w:r>
      <w:r w:rsidRPr="008A5B4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Естіген нәрсені ұмытпасқа төрт түрлі себеп бар: әуелі көкірегі байлаулы, берік болмақ керек; екінші – сол нәрсені көргенде я естігенде ғибратлану керек көңілденіп, ойланып, көңілге бекіту керек; төртінші – ой кеселді нәрселерден қашық болу керек</w:t>
      </w:r>
      <w:r w:rsidRPr="008A5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[7].</w:t>
      </w:r>
    </w:p>
    <w:p w:rsidR="003D440F" w:rsidRPr="003D440F" w:rsidRDefault="003D440F" w:rsidP="008A5B4C">
      <w:pPr>
        <w:rPr>
          <w:lang w:val="kk-KZ"/>
        </w:rPr>
      </w:pPr>
    </w:p>
    <w:sectPr w:rsidR="003D440F" w:rsidRPr="003D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2F04"/>
    <w:multiLevelType w:val="hybridMultilevel"/>
    <w:tmpl w:val="E3E8E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4F"/>
    <w:rsid w:val="00064559"/>
    <w:rsid w:val="00104F9A"/>
    <w:rsid w:val="003A240E"/>
    <w:rsid w:val="003B16FA"/>
    <w:rsid w:val="003D440F"/>
    <w:rsid w:val="004D004E"/>
    <w:rsid w:val="004F21F2"/>
    <w:rsid w:val="005005A1"/>
    <w:rsid w:val="005276D2"/>
    <w:rsid w:val="0070231C"/>
    <w:rsid w:val="0070364F"/>
    <w:rsid w:val="00810CFE"/>
    <w:rsid w:val="008A5B4C"/>
    <w:rsid w:val="00966DA4"/>
    <w:rsid w:val="00B23E32"/>
    <w:rsid w:val="00B50AE1"/>
    <w:rsid w:val="00B728F5"/>
    <w:rsid w:val="00C95639"/>
    <w:rsid w:val="00C9741D"/>
    <w:rsid w:val="00D06786"/>
    <w:rsid w:val="00E445BE"/>
    <w:rsid w:val="00E91F38"/>
    <w:rsid w:val="00F2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345074599591453E-2"/>
          <c:y val="0.31636362967804588"/>
          <c:w val="0.94692493072773731"/>
          <c:h val="0.558283485977928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Орташа</c:v>
                </c:pt>
                <c:pt idx="1">
                  <c:v>жақсы</c:v>
                </c:pt>
                <c:pt idx="2">
                  <c:v>Өте жақсы</c:v>
                </c:pt>
                <c:pt idx="3">
                  <c:v>Феноменді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0.30000000000000032</c:v>
                </c:pt>
                <c:pt idx="1">
                  <c:v>0.56000000000000005</c:v>
                </c:pt>
                <c:pt idx="2">
                  <c:v>0.12000000000000002</c:v>
                </c:pt>
                <c:pt idx="3">
                  <c:v>2.0000000000000049E-2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Орташа</c:v>
                </c:pt>
                <c:pt idx="1">
                  <c:v>жақсы</c:v>
                </c:pt>
                <c:pt idx="2">
                  <c:v>Өте жақсы</c:v>
                </c:pt>
                <c:pt idx="3">
                  <c:v>Феноменді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6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72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Орташа</c:v>
                </c:pt>
                <c:pt idx="1">
                  <c:v>жақсы</c:v>
                </c:pt>
                <c:pt idx="2">
                  <c:v>Өте жақсы</c:v>
                </c:pt>
                <c:pt idx="3">
                  <c:v>Феноменді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686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386879971245262"/>
          <c:y val="4.999719622989459E-2"/>
          <c:w val="0.70823908567786753"/>
          <c:h val="8.26719385693757E-2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184167124793851E-2"/>
          <c:y val="0.26286251261605936"/>
          <c:w val="0.91678147983013969"/>
          <c:h val="0.69970593264952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Төмен</c:v>
                </c:pt>
                <c:pt idx="1">
                  <c:v>Орташа</c:v>
                </c:pt>
                <c:pt idx="2">
                  <c:v>Жоғары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2.0000000000000011E-2</c:v>
                </c:pt>
                <c:pt idx="1">
                  <c:v>0.22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орташа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5-6 сынып</c:v>
                </c:pt>
                <c:pt idx="1">
                  <c:v>9-11 сынып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жақсы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5-6 сынып</c:v>
                </c:pt>
                <c:pt idx="1">
                  <c:v>9-11 сынып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</c:v>
                </c:pt>
                <c:pt idx="1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өте жақсы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5-6 сынып</c:v>
                </c:pt>
                <c:pt idx="1">
                  <c:v>9-11 сынып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Феноменді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5-6 сынып</c:v>
                </c:pt>
                <c:pt idx="1">
                  <c:v>9-11 сынып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722816"/>
        <c:axId val="148724352"/>
      </c:barChart>
      <c:catAx>
        <c:axId val="148722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8724352"/>
        <c:crosses val="autoZero"/>
        <c:auto val="1"/>
        <c:lblAlgn val="ctr"/>
        <c:lblOffset val="100"/>
        <c:noMultiLvlLbl val="0"/>
      </c:catAx>
      <c:valAx>
        <c:axId val="148724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87228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827500729075519E-2"/>
          <c:y val="4.6626984126984128E-2"/>
          <c:w val="0.55121536891221246"/>
          <c:h val="0.847222222222222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2.9415828229804809E-2"/>
                  <c:y val="6.5116860392450972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146398366870808E-2"/>
                  <c:y val="-3.487689038870163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Өте тұрақты</c:v>
                </c:pt>
                <c:pt idx="1">
                  <c:v>Тұрақтылығы орташа</c:v>
                </c:pt>
                <c:pt idx="2">
                  <c:v>Тұрақтылығы жеткіліксіз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0.74000000000000155</c:v>
                </c:pt>
                <c:pt idx="1">
                  <c:v>0.24000000000000021</c:v>
                </c:pt>
                <c:pt idx="2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5-6 сынып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Өте тұрақты</c:v>
                </c:pt>
                <c:pt idx="1">
                  <c:v>Тұрақтылығы орташа</c:v>
                </c:pt>
                <c:pt idx="2">
                  <c:v>Тұрақтылығы жеткіліксіз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9-11 сынып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Өте тұрақты</c:v>
                </c:pt>
                <c:pt idx="1">
                  <c:v>Тұрақтылығы орташа</c:v>
                </c:pt>
                <c:pt idx="2">
                  <c:v>Тұрақтылығы жеткіліксіз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63232"/>
        <c:axId val="146685952"/>
      </c:barChart>
      <c:catAx>
        <c:axId val="464632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685952"/>
        <c:crosses val="autoZero"/>
        <c:auto val="1"/>
        <c:lblAlgn val="ctr"/>
        <c:lblOffset val="100"/>
        <c:noMultiLvlLbl val="0"/>
      </c:catAx>
      <c:valAx>
        <c:axId val="1466859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6463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378379291610347E-2"/>
          <c:y val="0.23348827250608317"/>
          <c:w val="0.81627750849852465"/>
          <c:h val="0.652457031630173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Орташадан төмен</c:v>
                </c:pt>
                <c:pt idx="1">
                  <c:v>Орташа </c:v>
                </c:pt>
                <c:pt idx="2">
                  <c:v>Орташадан жоғары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0.62000000000000155</c:v>
                </c:pt>
                <c:pt idx="1">
                  <c:v>0.32000000000000089</c:v>
                </c:pt>
                <c:pt idx="2">
                  <c:v>6.0000000000000032E-2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Орташадан төмен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5-8 сынып</c:v>
                </c:pt>
                <c:pt idx="1">
                  <c:v>9-11 сынып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Орташа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5-8 сынып</c:v>
                </c:pt>
                <c:pt idx="1">
                  <c:v>9-11 сынып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Орташадан жоғары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5-8 сынып</c:v>
                </c:pt>
                <c:pt idx="1">
                  <c:v>9-11 сынып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133184"/>
        <c:axId val="147134720"/>
        <c:axId val="0"/>
      </c:bar3DChart>
      <c:catAx>
        <c:axId val="147133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7134720"/>
        <c:crosses val="autoZero"/>
        <c:auto val="1"/>
        <c:lblAlgn val="ctr"/>
        <c:lblOffset val="100"/>
        <c:noMultiLvlLbl val="0"/>
      </c:catAx>
      <c:valAx>
        <c:axId val="147134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71331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2023-04-05T03:25:00Z</dcterms:created>
  <dcterms:modified xsi:type="dcterms:W3CDTF">2023-04-05T05:02:00Z</dcterms:modified>
</cp:coreProperties>
</file>